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10F8" w14:textId="5DFAD93A" w:rsidR="003A7CFF" w:rsidRDefault="006B22F1" w:rsidP="006B22F1">
      <w:pPr>
        <w:jc w:val="center"/>
        <w:rPr>
          <w:rFonts w:ascii="Times New Roman" w:hAnsi="Times New Roman" w:cs="Times New Roman"/>
          <w:b/>
          <w:bCs/>
          <w:sz w:val="24"/>
          <w:szCs w:val="24"/>
        </w:rPr>
      </w:pPr>
      <w:r w:rsidRPr="006B22F1">
        <w:rPr>
          <w:rFonts w:ascii="Times New Roman" w:hAnsi="Times New Roman" w:cs="Times New Roman"/>
          <w:b/>
          <w:bCs/>
          <w:sz w:val="24"/>
          <w:szCs w:val="24"/>
        </w:rPr>
        <w:t>ABSTRACT</w:t>
      </w:r>
    </w:p>
    <w:p w14:paraId="17A40613" w14:textId="77777777" w:rsidR="006B22F1" w:rsidRPr="00D956CF" w:rsidRDefault="006B22F1" w:rsidP="006B22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w:t>
      </w:r>
      <w:r w:rsidRPr="00D956CF">
        <w:rPr>
          <w:rFonts w:ascii="Times New Roman" w:hAnsi="Times New Roman" w:cs="Times New Roman"/>
          <w:sz w:val="24"/>
          <w:szCs w:val="24"/>
        </w:rPr>
        <w:t xml:space="preserve"> plastic deformation techniques find </w:t>
      </w:r>
      <w:r>
        <w:rPr>
          <w:rFonts w:ascii="Times New Roman" w:hAnsi="Times New Roman" w:cs="Times New Roman"/>
          <w:sz w:val="24"/>
          <w:szCs w:val="24"/>
        </w:rPr>
        <w:t xml:space="preserve">their </w:t>
      </w:r>
      <w:r w:rsidRPr="00D956CF">
        <w:rPr>
          <w:rFonts w:ascii="Times New Roman" w:hAnsi="Times New Roman" w:cs="Times New Roman"/>
          <w:sz w:val="24"/>
          <w:szCs w:val="24"/>
        </w:rPr>
        <w:t>application</w:t>
      </w:r>
      <w:r>
        <w:rPr>
          <w:rFonts w:ascii="Times New Roman" w:hAnsi="Times New Roman" w:cs="Times New Roman"/>
          <w:sz w:val="24"/>
          <w:szCs w:val="24"/>
        </w:rPr>
        <w:t>s</w:t>
      </w:r>
      <w:r w:rsidRPr="00D956CF">
        <w:rPr>
          <w:rFonts w:ascii="Times New Roman" w:hAnsi="Times New Roman" w:cs="Times New Roman"/>
          <w:sz w:val="24"/>
          <w:szCs w:val="24"/>
        </w:rPr>
        <w:t xml:space="preserve"> in the production of diverse industrial tools and equipment. Among these, 3-Axis Forging (3AF) stands out as a Severe Plastic Deformation (SPD) method utilized in fabricating the </w:t>
      </w:r>
      <w:r>
        <w:rPr>
          <w:rFonts w:ascii="Times New Roman" w:hAnsi="Times New Roman" w:cs="Times New Roman"/>
          <w:sz w:val="24"/>
          <w:szCs w:val="24"/>
        </w:rPr>
        <w:t>starting</w:t>
      </w:r>
      <w:r w:rsidRPr="00D956CF">
        <w:rPr>
          <w:rFonts w:ascii="Times New Roman" w:hAnsi="Times New Roman" w:cs="Times New Roman"/>
          <w:sz w:val="24"/>
          <w:szCs w:val="24"/>
        </w:rPr>
        <w:t xml:space="preserve"> material for Superconducting Radio Frequency Cavities (SRFCs). These cavities </w:t>
      </w:r>
      <w:r>
        <w:rPr>
          <w:rFonts w:ascii="Times New Roman" w:hAnsi="Times New Roman" w:cs="Times New Roman"/>
          <w:sz w:val="24"/>
          <w:szCs w:val="24"/>
        </w:rPr>
        <w:t>require</w:t>
      </w:r>
      <w:r w:rsidRPr="00D956CF">
        <w:rPr>
          <w:rFonts w:ascii="Times New Roman" w:hAnsi="Times New Roman" w:cs="Times New Roman"/>
          <w:sz w:val="24"/>
          <w:szCs w:val="24"/>
        </w:rPr>
        <w:t xml:space="preserve"> a starting microstructure characterized by ultrafine grains (≤ 50µm) with a substantial proportion of High Angle Grain Boundaries (≥60%). Additionally, a high ratio of (111)</w:t>
      </w:r>
      <w:proofErr w:type="gramStart"/>
      <w:r w:rsidRPr="00D956CF">
        <w:rPr>
          <w:rFonts w:ascii="Times New Roman" w:hAnsi="Times New Roman" w:cs="Times New Roman"/>
          <w:sz w:val="24"/>
          <w:szCs w:val="24"/>
        </w:rPr>
        <w:t>/(</w:t>
      </w:r>
      <w:proofErr w:type="gramEnd"/>
      <w:r w:rsidRPr="00D956CF">
        <w:rPr>
          <w:rFonts w:ascii="Times New Roman" w:hAnsi="Times New Roman" w:cs="Times New Roman"/>
          <w:sz w:val="24"/>
          <w:szCs w:val="24"/>
        </w:rPr>
        <w:t>100) texture components aligned parallel to the sheet normal enhances draw-ability and resistance to thinning during spinning and deep drawing.</w:t>
      </w:r>
    </w:p>
    <w:p w14:paraId="0A89C3E6" w14:textId="31996843" w:rsidR="006B22F1" w:rsidRPr="00D956CF" w:rsidRDefault="006B22F1" w:rsidP="006B22F1">
      <w:pPr>
        <w:spacing w:after="0" w:line="480" w:lineRule="auto"/>
        <w:ind w:firstLine="720"/>
        <w:jc w:val="both"/>
        <w:rPr>
          <w:rFonts w:ascii="Times New Roman" w:hAnsi="Times New Roman" w:cs="Times New Roman"/>
          <w:sz w:val="24"/>
          <w:szCs w:val="24"/>
        </w:rPr>
      </w:pPr>
      <w:r w:rsidRPr="00D956CF">
        <w:rPr>
          <w:rFonts w:ascii="Times New Roman" w:hAnsi="Times New Roman" w:cs="Times New Roman"/>
          <w:sz w:val="24"/>
          <w:szCs w:val="24"/>
        </w:rPr>
        <w:t>In this study, an alternative approach involving severe plastic deformation of high purity Niobium (Nb) and oxygen-free high-conductivity (OFHC) copper (Cu) via 3-Axis forging at various temperatures was explored. Previous experimental investigations employing Orientation Imaging Microscopy (OIM) revealed significant reductions in grain size, from 134±12µm to 1.1±0.5µm for high-purity Niobium and from 24±19µm to 2±0.6µm for OFHC Cu</w:t>
      </w:r>
      <w:r>
        <w:rPr>
          <w:rFonts w:ascii="Times New Roman" w:hAnsi="Times New Roman" w:cs="Times New Roman"/>
          <w:sz w:val="24"/>
          <w:szCs w:val="24"/>
        </w:rPr>
        <w:t>. This confirms the occurrence of grain refinement</w:t>
      </w:r>
      <w:r w:rsidRPr="00D956CF">
        <w:rPr>
          <w:rFonts w:ascii="Times New Roman" w:hAnsi="Times New Roman" w:cs="Times New Roman"/>
          <w:sz w:val="24"/>
          <w:szCs w:val="24"/>
        </w:rPr>
        <w:t>. The resultant microstructures exhibited a high percentage (approximately 61%) of High Angle Grain Boundaries</w:t>
      </w:r>
      <w:r>
        <w:rPr>
          <w:rFonts w:ascii="Times New Roman" w:hAnsi="Times New Roman" w:cs="Times New Roman"/>
          <w:sz w:val="24"/>
          <w:szCs w:val="24"/>
        </w:rPr>
        <w:t xml:space="preserve"> (HAGB%)</w:t>
      </w:r>
      <w:r w:rsidRPr="00D956CF">
        <w:rPr>
          <w:rFonts w:ascii="Times New Roman" w:hAnsi="Times New Roman" w:cs="Times New Roman"/>
          <w:sz w:val="24"/>
          <w:szCs w:val="24"/>
        </w:rPr>
        <w:t>. Accompanying the grain refinement were pronounced degrees of microstructural homogeneity, attributed to shear bands, with non-uniform hardness profiles confirming the presence of inhomogeneities.</w:t>
      </w:r>
      <w:r>
        <w:rPr>
          <w:rFonts w:ascii="Times New Roman" w:hAnsi="Times New Roman" w:cs="Times New Roman"/>
          <w:sz w:val="24"/>
          <w:szCs w:val="24"/>
        </w:rPr>
        <w:t xml:space="preserve"> Additionally, the presence of variations in the grain size and HAGB% also indicates the presence of microstructural inhomogeneities.</w:t>
      </w:r>
    </w:p>
    <w:p w14:paraId="622CFC7C" w14:textId="77777777" w:rsidR="006B22F1" w:rsidRDefault="006B22F1" w:rsidP="006B22F1">
      <w:pPr>
        <w:spacing w:after="0" w:line="480" w:lineRule="auto"/>
        <w:ind w:firstLine="720"/>
        <w:jc w:val="both"/>
        <w:rPr>
          <w:rFonts w:ascii="Times New Roman" w:hAnsi="Times New Roman" w:cs="Times New Roman"/>
          <w:sz w:val="24"/>
          <w:szCs w:val="24"/>
        </w:rPr>
      </w:pPr>
      <w:r w:rsidRPr="00D956CF">
        <w:rPr>
          <w:rFonts w:ascii="Times New Roman" w:hAnsi="Times New Roman" w:cs="Times New Roman"/>
          <w:sz w:val="24"/>
          <w:szCs w:val="24"/>
        </w:rPr>
        <w:t xml:space="preserve">To qualitatively assess the degree of microstructural inhomogeneity, </w:t>
      </w:r>
      <w:r>
        <w:rPr>
          <w:rFonts w:ascii="Times New Roman" w:hAnsi="Times New Roman" w:cs="Times New Roman"/>
          <w:sz w:val="24"/>
          <w:szCs w:val="24"/>
        </w:rPr>
        <w:t>a</w:t>
      </w:r>
      <w:r w:rsidRPr="00D956CF">
        <w:rPr>
          <w:rFonts w:ascii="Times New Roman" w:hAnsi="Times New Roman" w:cs="Times New Roman"/>
          <w:sz w:val="24"/>
          <w:szCs w:val="24"/>
        </w:rPr>
        <w:t xml:space="preserve"> commercial Finite Element Analysis (FEA) software DEFORM 3D was employed. Further analysis using DEFORM 3D revealed</w:t>
      </w:r>
      <w:r>
        <w:rPr>
          <w:rFonts w:ascii="Times New Roman" w:hAnsi="Times New Roman" w:cs="Times New Roman"/>
          <w:sz w:val="24"/>
          <w:szCs w:val="24"/>
        </w:rPr>
        <w:t xml:space="preserve"> the emergence of</w:t>
      </w:r>
      <w:r w:rsidRPr="00D956CF">
        <w:rPr>
          <w:rFonts w:ascii="Times New Roman" w:hAnsi="Times New Roman" w:cs="Times New Roman"/>
          <w:sz w:val="24"/>
          <w:szCs w:val="24"/>
        </w:rPr>
        <w:t xml:space="preserve"> non-uniform effective strain distributions, corroborating the existence of microstructural inhomogeneities. Analysis of the strain distribution spanned 4 cycles</w:t>
      </w:r>
      <w:r>
        <w:rPr>
          <w:rFonts w:ascii="Times New Roman" w:hAnsi="Times New Roman" w:cs="Times New Roman"/>
          <w:sz w:val="24"/>
          <w:szCs w:val="24"/>
        </w:rPr>
        <w:t xml:space="preserve"> (equivalent to 12 passes)</w:t>
      </w:r>
      <w:r w:rsidRPr="00D956CF">
        <w:rPr>
          <w:rFonts w:ascii="Times New Roman" w:hAnsi="Times New Roman" w:cs="Times New Roman"/>
          <w:sz w:val="24"/>
          <w:szCs w:val="24"/>
        </w:rPr>
        <w:t xml:space="preserve">, covering processing strains </w:t>
      </w:r>
      <w:r>
        <w:rPr>
          <w:rFonts w:ascii="Times New Roman" w:hAnsi="Times New Roman" w:cs="Times New Roman"/>
          <w:sz w:val="24"/>
          <w:szCs w:val="24"/>
        </w:rPr>
        <w:t>of</w:t>
      </w:r>
      <w:r w:rsidRPr="00D956CF">
        <w:rPr>
          <w:rFonts w:ascii="Times New Roman" w:hAnsi="Times New Roman" w:cs="Times New Roman"/>
          <w:sz w:val="24"/>
          <w:szCs w:val="24"/>
        </w:rPr>
        <w:t xml:space="preserve"> </w:t>
      </w:r>
      <w:r>
        <w:rPr>
          <w:rFonts w:ascii="Times New Roman" w:hAnsi="Times New Roman" w:cs="Times New Roman"/>
          <w:bCs/>
          <w:sz w:val="24"/>
        </w:rPr>
        <w:t xml:space="preserve">0.2, 0.4, 0.65, 0.80, 1.00, 1.33, 1.53, 1.73, </w:t>
      </w:r>
      <w:r>
        <w:rPr>
          <w:rFonts w:ascii="Times New Roman" w:hAnsi="Times New Roman" w:cs="Times New Roman"/>
          <w:bCs/>
          <w:sz w:val="24"/>
        </w:rPr>
        <w:lastRenderedPageBreak/>
        <w:t xml:space="preserve">1.98, 2.13, 2.33, 2.66 </w:t>
      </w:r>
      <w:r w:rsidRPr="00D956CF">
        <w:rPr>
          <w:rFonts w:ascii="Times New Roman" w:hAnsi="Times New Roman" w:cs="Times New Roman"/>
          <w:sz w:val="24"/>
          <w:szCs w:val="24"/>
        </w:rPr>
        <w:t>and temperatures of -196°C</w:t>
      </w:r>
      <w:r>
        <w:rPr>
          <w:rFonts w:ascii="Times New Roman" w:hAnsi="Times New Roman" w:cs="Times New Roman"/>
          <w:sz w:val="24"/>
          <w:szCs w:val="24"/>
        </w:rPr>
        <w:t>, 22</w:t>
      </w:r>
      <w:r>
        <w:rPr>
          <w:rFonts w:ascii="Times New Roman" w:hAnsi="Times New Roman" w:cs="Times New Roman"/>
          <w:sz w:val="24"/>
          <w:szCs w:val="24"/>
          <w:vertAlign w:val="superscript"/>
        </w:rPr>
        <w:t>o</w:t>
      </w:r>
      <w:r>
        <w:rPr>
          <w:rFonts w:ascii="Times New Roman" w:hAnsi="Times New Roman" w:cs="Times New Roman"/>
          <w:sz w:val="24"/>
          <w:szCs w:val="24"/>
        </w:rPr>
        <w:t>C, 126</w:t>
      </w:r>
      <w:r>
        <w:rPr>
          <w:rFonts w:ascii="Times New Roman" w:hAnsi="Times New Roman" w:cs="Times New Roman"/>
          <w:sz w:val="24"/>
          <w:szCs w:val="24"/>
          <w:vertAlign w:val="superscript"/>
        </w:rPr>
        <w:t>o</w:t>
      </w:r>
      <w:r>
        <w:rPr>
          <w:rFonts w:ascii="Times New Roman" w:hAnsi="Times New Roman" w:cs="Times New Roman"/>
          <w:sz w:val="24"/>
          <w:szCs w:val="24"/>
        </w:rPr>
        <w:t>C and 227</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Pr="00D956CF">
        <w:rPr>
          <w:rFonts w:ascii="Times New Roman" w:hAnsi="Times New Roman" w:cs="Times New Roman"/>
          <w:sz w:val="24"/>
          <w:szCs w:val="24"/>
        </w:rPr>
        <w:t xml:space="preserve">for high purity Nb, and 22°C </w:t>
      </w:r>
      <w:r>
        <w:rPr>
          <w:rFonts w:ascii="Times New Roman" w:hAnsi="Times New Roman" w:cs="Times New Roman"/>
          <w:sz w:val="24"/>
          <w:szCs w:val="24"/>
        </w:rPr>
        <w:t xml:space="preserve">and </w:t>
      </w:r>
      <w:r w:rsidRPr="00D956CF">
        <w:rPr>
          <w:rFonts w:ascii="Times New Roman" w:hAnsi="Times New Roman" w:cs="Times New Roman"/>
          <w:sz w:val="24"/>
          <w:szCs w:val="24"/>
        </w:rPr>
        <w:t>200°C for OFHC Cu, under various friction factors</w:t>
      </w:r>
      <w:r>
        <w:rPr>
          <w:rFonts w:ascii="Times New Roman" w:hAnsi="Times New Roman" w:cs="Times New Roman"/>
          <w:sz w:val="24"/>
          <w:szCs w:val="24"/>
        </w:rPr>
        <w:t xml:space="preserve"> of </w:t>
      </w:r>
      <w:r>
        <w:rPr>
          <w:rFonts w:ascii="Times New Roman" w:hAnsi="Times New Roman" w:cs="Times New Roman"/>
          <w:bCs/>
          <w:sz w:val="24"/>
        </w:rPr>
        <w:t>0.05, 0.25, 0.30, 0.40, 0.50, 0.60, 0.70, and 0.80 respectively.</w:t>
      </w:r>
    </w:p>
    <w:p w14:paraId="72DF0825" w14:textId="77777777" w:rsidR="006B22F1" w:rsidRPr="00D956CF" w:rsidRDefault="006B22F1" w:rsidP="006B22F1">
      <w:pPr>
        <w:spacing w:after="0" w:line="480" w:lineRule="auto"/>
        <w:ind w:firstLine="720"/>
        <w:jc w:val="both"/>
        <w:rPr>
          <w:rFonts w:ascii="Times New Roman" w:hAnsi="Times New Roman" w:cs="Times New Roman"/>
          <w:sz w:val="24"/>
          <w:szCs w:val="24"/>
        </w:rPr>
      </w:pPr>
      <w:r w:rsidRPr="00D956CF">
        <w:rPr>
          <w:rFonts w:ascii="Times New Roman" w:hAnsi="Times New Roman" w:cs="Times New Roman"/>
          <w:sz w:val="24"/>
          <w:szCs w:val="24"/>
        </w:rPr>
        <w:t>To quantitatively assess these microstructural inhomogeneities, a mathematical expression termed the Deformation Refinement Index (DRI),</w:t>
      </w:r>
      <w:r>
        <w:rPr>
          <w:rFonts w:ascii="Times New Roman" w:hAnsi="Times New Roman" w:cs="Times New Roman"/>
          <w:sz w:val="24"/>
          <w:szCs w:val="24"/>
        </w:rPr>
        <w:t xml:space="preserve"> which is</w:t>
      </w:r>
      <w:r w:rsidRPr="00D956CF">
        <w:rPr>
          <w:rFonts w:ascii="Times New Roman" w:hAnsi="Times New Roman" w:cs="Times New Roman"/>
          <w:sz w:val="24"/>
          <w:szCs w:val="24"/>
        </w:rPr>
        <w:t xml:space="preserve"> dependent on the maximum and minimum effective strain, was introduced. Results indicated that high purity Nb exhibited greater microstructural inhomogeneities compared to OFHC Cu, with DRI evaluations under different friction factors further confirming this observation. Notably, the DRI versus processing strain plot revealed two distinct regimes separated by a critical strain value known as the maximum strain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m</m:t>
            </m:r>
          </m:sub>
        </m:sSub>
      </m:oMath>
      <w:r w:rsidRPr="00D956CF">
        <w:rPr>
          <w:rFonts w:ascii="Times New Roman" w:hAnsi="Times New Roman" w:cs="Times New Roman"/>
          <w:sz w:val="24"/>
          <w:szCs w:val="24"/>
        </w:rPr>
        <w:t>, beyond which factors contributing to grain refinement become relaxed or eliminated.</w:t>
      </w:r>
    </w:p>
    <w:p w14:paraId="7148713E" w14:textId="77777777" w:rsidR="006B22F1" w:rsidRPr="00D956CF" w:rsidRDefault="006B22F1" w:rsidP="006B22F1">
      <w:pPr>
        <w:spacing w:after="0" w:line="480" w:lineRule="auto"/>
        <w:ind w:firstLine="720"/>
        <w:jc w:val="both"/>
        <w:rPr>
          <w:rFonts w:ascii="Times New Roman" w:hAnsi="Times New Roman" w:cs="Times New Roman"/>
          <w:sz w:val="24"/>
          <w:szCs w:val="24"/>
        </w:rPr>
      </w:pPr>
      <w:r w:rsidRPr="00D956CF">
        <w:rPr>
          <w:rFonts w:ascii="Times New Roman" w:hAnsi="Times New Roman" w:cs="Times New Roman"/>
          <w:sz w:val="24"/>
          <w:szCs w:val="24"/>
        </w:rPr>
        <w:t>Furthermore, th</w:t>
      </w:r>
      <w:r>
        <w:rPr>
          <w:rFonts w:ascii="Times New Roman" w:hAnsi="Times New Roman" w:cs="Times New Roman"/>
          <w:sz w:val="24"/>
          <w:szCs w:val="24"/>
        </w:rPr>
        <w:t>is</w:t>
      </w:r>
      <w:r w:rsidRPr="00D956CF">
        <w:rPr>
          <w:rFonts w:ascii="Times New Roman" w:hAnsi="Times New Roman" w:cs="Times New Roman"/>
          <w:sz w:val="24"/>
          <w:szCs w:val="24"/>
        </w:rPr>
        <w:t xml:space="preserve"> study highlighted the significant influence of temperature on the DRI of both high purity Nb and OFHC Cu. Additionally, investigations into the effects of grain rotation and saturation on grain refinement were conducted, providing valuable insights into the overall grain refinement process.</w:t>
      </w:r>
    </w:p>
    <w:p w14:paraId="032D56D5" w14:textId="77777777" w:rsidR="006B22F1" w:rsidRPr="00C64372" w:rsidRDefault="006B22F1" w:rsidP="006B22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Pr="00D956CF">
        <w:rPr>
          <w:rFonts w:ascii="Times New Roman" w:hAnsi="Times New Roman" w:cs="Times New Roman"/>
          <w:sz w:val="24"/>
          <w:szCs w:val="24"/>
        </w:rPr>
        <w:t xml:space="preserve"> study highlights the feasibility of quantitatively assessing microstructural inhomogeneity using a mathematical expression, thereby contributing to a deeper understanding of grain refinement processes.</w:t>
      </w:r>
    </w:p>
    <w:p w14:paraId="29615FC6" w14:textId="77777777" w:rsidR="006B22F1" w:rsidRPr="006B22F1" w:rsidRDefault="006B22F1" w:rsidP="006B22F1">
      <w:pPr>
        <w:jc w:val="center"/>
        <w:rPr>
          <w:rFonts w:ascii="Times New Roman" w:hAnsi="Times New Roman" w:cs="Times New Roman"/>
          <w:sz w:val="24"/>
          <w:szCs w:val="24"/>
        </w:rPr>
      </w:pPr>
    </w:p>
    <w:sectPr w:rsidR="006B22F1" w:rsidRPr="006B2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F1"/>
    <w:rsid w:val="00151572"/>
    <w:rsid w:val="003A7CFF"/>
    <w:rsid w:val="006B22F1"/>
    <w:rsid w:val="00CE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EA32"/>
  <w15:chartTrackingRefBased/>
  <w15:docId w15:val="{A7F4AD18-4755-4585-95CB-29F44D81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Egoh, Aruoture</dc:creator>
  <cp:keywords/>
  <dc:description/>
  <cp:lastModifiedBy>Egoh, Aruoture</cp:lastModifiedBy>
  <cp:revision>1</cp:revision>
  <dcterms:created xsi:type="dcterms:W3CDTF">2024-03-15T15:56:00Z</dcterms:created>
  <dcterms:modified xsi:type="dcterms:W3CDTF">2024-03-15T16:00:00Z</dcterms:modified>
</cp:coreProperties>
</file>