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ACC32" w14:textId="77777777" w:rsidR="00E54BB6" w:rsidRPr="00A774F8" w:rsidRDefault="00E54BB6" w:rsidP="00E54BB6">
      <w:pPr>
        <w:tabs>
          <w:tab w:val="left" w:pos="6179"/>
        </w:tabs>
        <w:spacing w:after="0" w:line="480" w:lineRule="auto"/>
        <w:jc w:val="center"/>
        <w:rPr>
          <w:rFonts w:ascii="Times New Roman" w:hAnsi="Times New Roman" w:cs="Times New Roman"/>
          <w:b/>
          <w:sz w:val="24"/>
          <w:szCs w:val="24"/>
        </w:rPr>
      </w:pPr>
      <w:r w:rsidRPr="00A774F8">
        <w:rPr>
          <w:rFonts w:ascii="Times New Roman" w:hAnsi="Times New Roman" w:cs="Times New Roman"/>
          <w:b/>
          <w:sz w:val="24"/>
          <w:szCs w:val="24"/>
        </w:rPr>
        <w:t>ABSTRACT</w:t>
      </w:r>
    </w:p>
    <w:p w14:paraId="29D8518A" w14:textId="77777777" w:rsidR="00E54BB6" w:rsidRPr="00A774F8" w:rsidRDefault="00E54BB6" w:rsidP="00E54BB6">
      <w:pPr>
        <w:spacing w:after="0" w:line="480" w:lineRule="auto"/>
        <w:ind w:firstLine="720"/>
        <w:jc w:val="both"/>
        <w:rPr>
          <w:rFonts w:ascii="Times New Roman" w:eastAsia="Times New Roman" w:hAnsi="Times New Roman" w:cs="Times New Roman"/>
          <w:sz w:val="24"/>
          <w:szCs w:val="24"/>
        </w:rPr>
      </w:pPr>
      <w:bookmarkStart w:id="0" w:name="_Hlk193696087"/>
      <w:r w:rsidRPr="00A774F8">
        <w:rPr>
          <w:rFonts w:ascii="Times New Roman" w:eastAsia="Times New Roman" w:hAnsi="Times New Roman" w:cs="Times New Roman"/>
          <w:sz w:val="24"/>
          <w:szCs w:val="24"/>
        </w:rPr>
        <w:t xml:space="preserve">The lithium-ion battery (LIB) has been a </w:t>
      </w:r>
      <w:r>
        <w:rPr>
          <w:rFonts w:ascii="Times New Roman" w:eastAsia="Times New Roman" w:hAnsi="Times New Roman" w:cs="Times New Roman"/>
          <w:sz w:val="24"/>
          <w:szCs w:val="24"/>
        </w:rPr>
        <w:t xml:space="preserve">powerhouse </w:t>
      </w:r>
      <w:r w:rsidRPr="00A774F8">
        <w:rPr>
          <w:rFonts w:ascii="Times New Roman" w:eastAsia="Times New Roman" w:hAnsi="Times New Roman" w:cs="Times New Roman"/>
          <w:sz w:val="24"/>
          <w:szCs w:val="24"/>
        </w:rPr>
        <w:t xml:space="preserve">of consumer electronics for the past three decades. </w:t>
      </w:r>
      <w:r>
        <w:rPr>
          <w:rFonts w:ascii="Times New Roman" w:eastAsia="Times New Roman" w:hAnsi="Times New Roman" w:cs="Times New Roman"/>
          <w:sz w:val="24"/>
          <w:szCs w:val="24"/>
        </w:rPr>
        <w:t>These a</w:t>
      </w:r>
      <w:r w:rsidRPr="00A774F8">
        <w:rPr>
          <w:rFonts w:ascii="Times New Roman" w:eastAsia="Times New Roman" w:hAnsi="Times New Roman" w:cs="Times New Roman"/>
          <w:sz w:val="24"/>
          <w:szCs w:val="24"/>
        </w:rPr>
        <w:t xml:space="preserve">pplications include, but are not limited to, </w:t>
      </w:r>
      <w:r>
        <w:rPr>
          <w:rFonts w:ascii="Times New Roman" w:eastAsia="Times New Roman" w:hAnsi="Times New Roman" w:cs="Times New Roman"/>
          <w:sz w:val="24"/>
          <w:szCs w:val="24"/>
        </w:rPr>
        <w:t>portable devices</w:t>
      </w:r>
      <w:r w:rsidRPr="00A774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electric</w:t>
      </w:r>
      <w:r w:rsidRPr="00A774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grids</w:t>
      </w:r>
      <w:r w:rsidRPr="00A774F8">
        <w:rPr>
          <w:rFonts w:ascii="Times New Roman" w:eastAsia="Times New Roman" w:hAnsi="Times New Roman" w:cs="Times New Roman"/>
          <w:sz w:val="24"/>
          <w:szCs w:val="24"/>
        </w:rPr>
        <w:t xml:space="preserve">, and transportation. Their staying power in the battery market is due to </w:t>
      </w:r>
      <w:r>
        <w:rPr>
          <w:rFonts w:ascii="Times New Roman" w:eastAsia="Times New Roman" w:hAnsi="Times New Roman" w:cs="Times New Roman"/>
          <w:sz w:val="24"/>
          <w:szCs w:val="24"/>
        </w:rPr>
        <w:t xml:space="preserve">their being lightweight, having high energy density, long cycle life, and </w:t>
      </w:r>
      <w:r w:rsidRPr="00A774F8">
        <w:rPr>
          <w:rFonts w:ascii="Times New Roman" w:eastAsia="Times New Roman" w:hAnsi="Times New Roman" w:cs="Times New Roman"/>
          <w:sz w:val="24"/>
          <w:szCs w:val="24"/>
        </w:rPr>
        <w:t xml:space="preserve">wide range of operating temperatures. LIBs are rechargeable, but because of the kinetics within the cell, they lose capacity due to degradation from the buildup of unwanted lithium-based </w:t>
      </w:r>
      <w:r>
        <w:rPr>
          <w:rFonts w:ascii="Times New Roman" w:eastAsia="Times New Roman" w:hAnsi="Times New Roman" w:cs="Times New Roman"/>
          <w:sz w:val="24"/>
          <w:szCs w:val="24"/>
        </w:rPr>
        <w:t>by</w:t>
      </w:r>
      <w:r w:rsidRPr="00A774F8">
        <w:rPr>
          <w:rFonts w:ascii="Times New Roman" w:eastAsia="Times New Roman" w:hAnsi="Times New Roman" w:cs="Times New Roman"/>
          <w:sz w:val="24"/>
          <w:szCs w:val="24"/>
        </w:rPr>
        <w:t xml:space="preserve">products. </w:t>
      </w:r>
      <w:r>
        <w:rPr>
          <w:rFonts w:ascii="Times New Roman" w:eastAsia="Times New Roman" w:hAnsi="Times New Roman" w:cs="Times New Roman"/>
          <w:sz w:val="24"/>
          <w:szCs w:val="24"/>
        </w:rPr>
        <w:t>Predicting the degradation of LIBs gives users information on how long the LIB would be usable, and one parameter to determine degradation is its capacity.</w:t>
      </w:r>
    </w:p>
    <w:p w14:paraId="6ABCD786" w14:textId="77777777" w:rsidR="00E54BB6" w:rsidRPr="00A774F8" w:rsidRDefault="00E54BB6" w:rsidP="00E54BB6">
      <w:pPr>
        <w:spacing w:after="0" w:line="480" w:lineRule="auto"/>
        <w:ind w:firstLine="720"/>
        <w:jc w:val="both"/>
        <w:rPr>
          <w:rFonts w:ascii="Times New Roman" w:eastAsia="Times New Roman" w:hAnsi="Times New Roman" w:cs="Times New Roman"/>
          <w:sz w:val="24"/>
          <w:szCs w:val="24"/>
        </w:rPr>
      </w:pPr>
      <w:r w:rsidRPr="00A774F8">
        <w:rPr>
          <w:rFonts w:ascii="Times New Roman" w:eastAsia="Times New Roman" w:hAnsi="Times New Roman" w:cs="Times New Roman"/>
          <w:sz w:val="24"/>
          <w:szCs w:val="24"/>
        </w:rPr>
        <w:t xml:space="preserve">Conventional data </w:t>
      </w:r>
      <w:r>
        <w:rPr>
          <w:rFonts w:ascii="Times New Roman" w:eastAsia="Times New Roman" w:hAnsi="Times New Roman" w:cs="Times New Roman"/>
          <w:sz w:val="24"/>
          <w:szCs w:val="24"/>
        </w:rPr>
        <w:t xml:space="preserve">in the literature to predict future capacity </w:t>
      </w:r>
      <w:r w:rsidRPr="00A774F8">
        <w:rPr>
          <w:rFonts w:ascii="Times New Roman" w:eastAsia="Times New Roman" w:hAnsi="Times New Roman" w:cs="Times New Roman"/>
          <w:sz w:val="24"/>
          <w:szCs w:val="24"/>
        </w:rPr>
        <w:t xml:space="preserve">comes from data associated with cycling cells. These are either current/voltage or their derivations. However, obtaining this data results in active cycling, which creates unwanted degradation. Electrochemical impedance spectroscopy (EIS) has shown recent usage to predict several </w:t>
      </w:r>
      <w:r>
        <w:rPr>
          <w:rFonts w:ascii="Times New Roman" w:eastAsia="Times New Roman" w:hAnsi="Times New Roman" w:cs="Times New Roman"/>
          <w:sz w:val="24"/>
          <w:szCs w:val="24"/>
        </w:rPr>
        <w:t>cell performance metrics, including</w:t>
      </w:r>
      <w:r w:rsidRPr="00A774F8">
        <w:rPr>
          <w:rFonts w:ascii="Times New Roman" w:eastAsia="Times New Roman" w:hAnsi="Times New Roman" w:cs="Times New Roman"/>
          <w:sz w:val="24"/>
          <w:szCs w:val="24"/>
        </w:rPr>
        <w:t xml:space="preserve"> the state of health (SOH), an indicator of battery degradation, due to its non-destructive nature to the cell. </w:t>
      </w:r>
    </w:p>
    <w:p w14:paraId="69A518F4" w14:textId="77777777" w:rsidR="00E54BB6" w:rsidRPr="00A774F8" w:rsidRDefault="00E54BB6" w:rsidP="00E54BB6">
      <w:pPr>
        <w:spacing w:after="0" w:line="480" w:lineRule="auto"/>
        <w:ind w:firstLine="720"/>
        <w:jc w:val="both"/>
        <w:rPr>
          <w:rFonts w:ascii="Times New Roman" w:eastAsia="Times New Roman" w:hAnsi="Times New Roman" w:cs="Times New Roman"/>
          <w:sz w:val="24"/>
          <w:szCs w:val="24"/>
        </w:rPr>
      </w:pPr>
      <w:bookmarkStart w:id="1" w:name="_Hlk193441446"/>
      <w:r w:rsidRPr="00A774F8">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work</w:t>
      </w:r>
      <w:r w:rsidRPr="00A774F8">
        <w:rPr>
          <w:rFonts w:ascii="Times New Roman" w:eastAsia="Times New Roman" w:hAnsi="Times New Roman" w:cs="Times New Roman"/>
          <w:sz w:val="24"/>
          <w:szCs w:val="24"/>
        </w:rPr>
        <w:t xml:space="preserve"> analyzes the different electrochemical phenomena that contribute to the impedance of a cell and their ability to predict capacity and SOH. These are analyzed using experimental EIS and equivalent circuit models (ECMs). With experimental EIS, salient regions were identified to predict capacity over a cell’s cycle life. Using LCO coin cells, the impedance at salient frequency ranges occurs in the overarching charge transfer </w:t>
      </w:r>
      <w:r>
        <w:rPr>
          <w:rFonts w:ascii="Times New Roman" w:eastAsia="Times New Roman" w:hAnsi="Times New Roman" w:cs="Times New Roman"/>
          <w:sz w:val="24"/>
          <w:szCs w:val="24"/>
        </w:rPr>
        <w:t>region</w:t>
      </w:r>
      <w:r w:rsidRPr="00A774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consisting of the </w:t>
      </w:r>
      <w:r w:rsidRPr="00A774F8">
        <w:rPr>
          <w:rFonts w:ascii="Times New Roman" w:eastAsia="Times New Roman" w:hAnsi="Times New Roman" w:cs="Times New Roman"/>
          <w:sz w:val="24"/>
          <w:szCs w:val="24"/>
        </w:rPr>
        <w:t xml:space="preserve">charge transfer resistance, double-layer capacitance, and the solid electrolyte interface. These phenomena were shown to predict capacity and SOH more accurately than </w:t>
      </w:r>
      <w:r>
        <w:rPr>
          <w:rFonts w:ascii="Times New Roman" w:eastAsia="Times New Roman" w:hAnsi="Times New Roman" w:cs="Times New Roman"/>
          <w:sz w:val="24"/>
          <w:szCs w:val="24"/>
        </w:rPr>
        <w:t>the global EIS, including</w:t>
      </w:r>
      <w:r w:rsidRPr="00A774F8">
        <w:rPr>
          <w:rFonts w:ascii="Times New Roman" w:eastAsia="Times New Roman" w:hAnsi="Times New Roman" w:cs="Times New Roman"/>
          <w:sz w:val="24"/>
          <w:szCs w:val="24"/>
        </w:rPr>
        <w:t xml:space="preserve"> diffusion of ionic species. The ECM provides more in-depth knowledge of the parameters within the charge </w:t>
      </w:r>
      <w:r w:rsidRPr="00A774F8">
        <w:rPr>
          <w:rFonts w:ascii="Times New Roman" w:eastAsia="Times New Roman" w:hAnsi="Times New Roman" w:cs="Times New Roman"/>
          <w:sz w:val="24"/>
          <w:szCs w:val="24"/>
        </w:rPr>
        <w:lastRenderedPageBreak/>
        <w:t>transfer region and their ability to predict capacity</w:t>
      </w:r>
      <w:r w:rsidRPr="00A774F8">
        <w:rPr>
          <w:rFonts w:ascii="Times New Roman" w:eastAsia="Times New Roman" w:hAnsi="Times New Roman" w:cs="Times New Roman"/>
          <w:color w:val="FF0000"/>
          <w:sz w:val="24"/>
          <w:szCs w:val="24"/>
        </w:rPr>
        <w:t xml:space="preserve">. </w:t>
      </w:r>
      <w:r w:rsidRPr="00A774F8">
        <w:rPr>
          <w:rFonts w:ascii="Times New Roman" w:eastAsia="Times New Roman" w:hAnsi="Times New Roman" w:cs="Times New Roman"/>
          <w:sz w:val="24"/>
          <w:szCs w:val="24"/>
        </w:rPr>
        <w:t xml:space="preserve">Analysis showed that the </w:t>
      </w:r>
      <w:r>
        <w:rPr>
          <w:rFonts w:ascii="Times New Roman" w:eastAsia="Times New Roman" w:hAnsi="Times New Roman" w:cs="Times New Roman"/>
          <w:sz w:val="24"/>
          <w:szCs w:val="24"/>
        </w:rPr>
        <w:t>charge transfer resistance</w:t>
      </w:r>
      <w:r w:rsidRPr="00A774F8">
        <w:rPr>
          <w:rFonts w:ascii="Times New Roman" w:eastAsia="Times New Roman" w:hAnsi="Times New Roman" w:cs="Times New Roman"/>
          <w:sz w:val="24"/>
          <w:szCs w:val="24"/>
        </w:rPr>
        <w:t xml:space="preserve"> within the charge transfer region provided the best correlation to predict capacity. These analyses </w:t>
      </w:r>
      <w:r>
        <w:rPr>
          <w:rFonts w:ascii="Times New Roman" w:eastAsia="Times New Roman" w:hAnsi="Times New Roman" w:cs="Times New Roman"/>
          <w:sz w:val="24"/>
          <w:szCs w:val="24"/>
        </w:rPr>
        <w:t>revealed</w:t>
      </w:r>
      <w:r w:rsidRPr="00A774F8">
        <w:rPr>
          <w:rFonts w:ascii="Times New Roman" w:eastAsia="Times New Roman" w:hAnsi="Times New Roman" w:cs="Times New Roman"/>
          <w:sz w:val="24"/>
          <w:szCs w:val="24"/>
        </w:rPr>
        <w:t xml:space="preserve"> that characterizing a LIB for battery prognosis on its impedance does not need to include the low-correlated, low-frequency diffusion spectrum, which accounts for more than 90% of the time </w:t>
      </w:r>
      <w:r>
        <w:rPr>
          <w:rFonts w:ascii="Times New Roman" w:eastAsia="Times New Roman" w:hAnsi="Times New Roman" w:cs="Times New Roman"/>
          <w:sz w:val="24"/>
          <w:szCs w:val="24"/>
        </w:rPr>
        <w:t>necessary</w:t>
      </w:r>
      <w:r w:rsidRPr="00A774F8">
        <w:rPr>
          <w:rFonts w:ascii="Times New Roman" w:eastAsia="Times New Roman" w:hAnsi="Times New Roman" w:cs="Times New Roman"/>
          <w:sz w:val="24"/>
          <w:szCs w:val="24"/>
        </w:rPr>
        <w:t xml:space="preserve"> to acquire global EIS.</w:t>
      </w:r>
    </w:p>
    <w:p w14:paraId="7DBB2A58" w14:textId="77777777" w:rsidR="00E54BB6" w:rsidRPr="00A774F8" w:rsidRDefault="00E54BB6" w:rsidP="00E54BB6">
      <w:pPr>
        <w:spacing w:after="0" w:line="480" w:lineRule="auto"/>
        <w:ind w:firstLine="720"/>
        <w:jc w:val="both"/>
        <w:rPr>
          <w:rFonts w:ascii="Times New Roman" w:eastAsia="Times New Roman" w:hAnsi="Times New Roman" w:cs="Times New Roman"/>
          <w:sz w:val="24"/>
          <w:szCs w:val="24"/>
        </w:rPr>
      </w:pPr>
      <w:r w:rsidRPr="00A774F8">
        <w:rPr>
          <w:rFonts w:ascii="Times New Roman" w:eastAsia="Times New Roman" w:hAnsi="Times New Roman" w:cs="Times New Roman"/>
          <w:sz w:val="24"/>
          <w:szCs w:val="24"/>
        </w:rPr>
        <w:t>Ultimately, this study provides a faster and less computational</w:t>
      </w:r>
      <w:r>
        <w:rPr>
          <w:rFonts w:ascii="Times New Roman" w:eastAsia="Times New Roman" w:hAnsi="Times New Roman" w:cs="Times New Roman"/>
          <w:sz w:val="24"/>
          <w:szCs w:val="24"/>
        </w:rPr>
        <w:t>ly intense</w:t>
      </w:r>
      <w:r w:rsidRPr="00A774F8">
        <w:rPr>
          <w:rFonts w:ascii="Times New Roman" w:eastAsia="Times New Roman" w:hAnsi="Times New Roman" w:cs="Times New Roman"/>
          <w:sz w:val="24"/>
          <w:szCs w:val="24"/>
        </w:rPr>
        <w:t xml:space="preserve"> method to </w:t>
      </w:r>
      <w:r>
        <w:rPr>
          <w:rFonts w:ascii="Times New Roman" w:eastAsia="Times New Roman" w:hAnsi="Times New Roman" w:cs="Times New Roman"/>
          <w:sz w:val="24"/>
          <w:szCs w:val="24"/>
        </w:rPr>
        <w:t>accurately predict battery degradation via its capacity and SOH</w:t>
      </w:r>
      <w:r w:rsidRPr="00A774F8">
        <w:rPr>
          <w:rFonts w:ascii="Times New Roman" w:eastAsia="Times New Roman" w:hAnsi="Times New Roman" w:cs="Times New Roman"/>
          <w:sz w:val="24"/>
          <w:szCs w:val="24"/>
        </w:rPr>
        <w:t xml:space="preserve">. This method can be used for battery management systems and battery testbench applications </w:t>
      </w:r>
      <w:r>
        <w:rPr>
          <w:rFonts w:ascii="Times New Roman" w:eastAsia="Times New Roman" w:hAnsi="Times New Roman" w:cs="Times New Roman"/>
          <w:sz w:val="24"/>
          <w:szCs w:val="24"/>
        </w:rPr>
        <w:t>focusing on LIB capacity fade</w:t>
      </w:r>
      <w:r w:rsidRPr="00A774F8">
        <w:rPr>
          <w:rFonts w:ascii="Times New Roman" w:eastAsia="Times New Roman" w:hAnsi="Times New Roman" w:cs="Times New Roman"/>
          <w:sz w:val="24"/>
          <w:szCs w:val="24"/>
        </w:rPr>
        <w:t>.</w:t>
      </w:r>
    </w:p>
    <w:bookmarkEnd w:id="0"/>
    <w:bookmarkEnd w:id="1"/>
    <w:p w14:paraId="5AAD66A7" w14:textId="77777777" w:rsidR="004259F3" w:rsidRDefault="004259F3"/>
    <w:sectPr w:rsidR="00425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46"/>
    <w:rsid w:val="000D128A"/>
    <w:rsid w:val="001D3679"/>
    <w:rsid w:val="002C740E"/>
    <w:rsid w:val="003763A4"/>
    <w:rsid w:val="00413768"/>
    <w:rsid w:val="004259F3"/>
    <w:rsid w:val="00476C46"/>
    <w:rsid w:val="004E3631"/>
    <w:rsid w:val="00560E1F"/>
    <w:rsid w:val="006A265D"/>
    <w:rsid w:val="007E7CFF"/>
    <w:rsid w:val="008F589E"/>
    <w:rsid w:val="00986CF8"/>
    <w:rsid w:val="009C7513"/>
    <w:rsid w:val="00E54BB6"/>
    <w:rsid w:val="00F82E8C"/>
    <w:rsid w:val="00FC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D5B0FA-8651-46E4-8A9D-3D4EEE9D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BB6"/>
    <w:pPr>
      <w:spacing w:after="200" w:line="288" w:lineRule="auto"/>
    </w:pPr>
    <w:rPr>
      <w:rFonts w:asciiTheme="minorHAnsi" w:eastAsiaTheme="minorEastAsia" w:hAnsiTheme="minorHAnsi"/>
      <w:kern w:val="0"/>
      <w:sz w:val="21"/>
      <w:szCs w:val="21"/>
      <w14:ligatures w14:val="none"/>
    </w:rPr>
  </w:style>
  <w:style w:type="paragraph" w:styleId="Heading1">
    <w:name w:val="heading 1"/>
    <w:basedOn w:val="Normal"/>
    <w:next w:val="Normal"/>
    <w:link w:val="Heading1Char"/>
    <w:uiPriority w:val="9"/>
    <w:qFormat/>
    <w:rsid w:val="00476C4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76C4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76C4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76C46"/>
    <w:pPr>
      <w:keepNext/>
      <w:keepLines/>
      <w:spacing w:before="80" w:after="40" w:line="259" w:lineRule="auto"/>
      <w:outlineLvl w:val="3"/>
    </w:pPr>
    <w:rPr>
      <w:rFonts w:eastAsiaTheme="majorEastAsia" w:cstheme="majorBidi"/>
      <w:i/>
      <w:iCs/>
      <w:color w:val="0F4761"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476C46"/>
    <w:pPr>
      <w:keepNext/>
      <w:keepLines/>
      <w:spacing w:before="80" w:after="40" w:line="259" w:lineRule="auto"/>
      <w:outlineLvl w:val="4"/>
    </w:pPr>
    <w:rPr>
      <w:rFonts w:eastAsiaTheme="majorEastAsia" w:cstheme="majorBidi"/>
      <w:color w:val="0F4761"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476C46"/>
    <w:pPr>
      <w:keepNext/>
      <w:keepLines/>
      <w:spacing w:before="40" w:after="0" w:line="259" w:lineRule="auto"/>
      <w:outlineLvl w:val="5"/>
    </w:pPr>
    <w:rPr>
      <w:rFonts w:eastAsiaTheme="majorEastAsia"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476C46"/>
    <w:pPr>
      <w:keepNext/>
      <w:keepLines/>
      <w:spacing w:before="40" w:after="0" w:line="259" w:lineRule="auto"/>
      <w:outlineLvl w:val="6"/>
    </w:pPr>
    <w:rPr>
      <w:rFonts w:eastAsiaTheme="majorEastAsia"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476C46"/>
    <w:pPr>
      <w:keepNext/>
      <w:keepLines/>
      <w:spacing w:after="0" w:line="259" w:lineRule="auto"/>
      <w:outlineLvl w:val="7"/>
    </w:pPr>
    <w:rPr>
      <w:rFonts w:eastAsiaTheme="majorEastAsia"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476C46"/>
    <w:pPr>
      <w:keepNext/>
      <w:keepLines/>
      <w:spacing w:after="0" w:line="259" w:lineRule="auto"/>
      <w:outlineLvl w:val="8"/>
    </w:pPr>
    <w:rPr>
      <w:rFonts w:eastAsiaTheme="majorEastAsia"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C4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C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6C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6C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6C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6C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6C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6C4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6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C4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76C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6C46"/>
    <w:pPr>
      <w:spacing w:before="160" w:after="160" w:line="259" w:lineRule="auto"/>
      <w:jc w:val="center"/>
    </w:pPr>
    <w:rPr>
      <w:rFonts w:ascii="Times New Roman" w:eastAsiaTheme="minorHAnsi" w:hAnsi="Times New Roman"/>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476C46"/>
    <w:rPr>
      <w:i/>
      <w:iCs/>
      <w:color w:val="404040" w:themeColor="text1" w:themeTint="BF"/>
    </w:rPr>
  </w:style>
  <w:style w:type="paragraph" w:styleId="ListParagraph">
    <w:name w:val="List Paragraph"/>
    <w:basedOn w:val="Normal"/>
    <w:uiPriority w:val="34"/>
    <w:qFormat/>
    <w:rsid w:val="00476C46"/>
    <w:pPr>
      <w:spacing w:after="160" w:line="259" w:lineRule="auto"/>
      <w:ind w:left="720"/>
      <w:contextualSpacing/>
    </w:pPr>
    <w:rPr>
      <w:rFonts w:ascii="Times New Roman" w:eastAsiaTheme="minorHAnsi" w:hAnsi="Times New Roman"/>
      <w:kern w:val="2"/>
      <w:sz w:val="24"/>
      <w:szCs w:val="22"/>
      <w14:ligatures w14:val="standardContextual"/>
    </w:rPr>
  </w:style>
  <w:style w:type="character" w:styleId="IntenseEmphasis">
    <w:name w:val="Intense Emphasis"/>
    <w:basedOn w:val="DefaultParagraphFont"/>
    <w:uiPriority w:val="21"/>
    <w:qFormat/>
    <w:rsid w:val="00476C46"/>
    <w:rPr>
      <w:i/>
      <w:iCs/>
      <w:color w:val="0F4761" w:themeColor="accent1" w:themeShade="BF"/>
    </w:rPr>
  </w:style>
  <w:style w:type="paragraph" w:styleId="IntenseQuote">
    <w:name w:val="Intense Quote"/>
    <w:basedOn w:val="Normal"/>
    <w:next w:val="Normal"/>
    <w:link w:val="IntenseQuoteChar"/>
    <w:uiPriority w:val="30"/>
    <w:qFormat/>
    <w:rsid w:val="00476C4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eastAsiaTheme="minorHAnsi" w:hAnsi="Times New Roman"/>
      <w:i/>
      <w:iCs/>
      <w:color w:val="0F4761"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476C46"/>
    <w:rPr>
      <w:i/>
      <w:iCs/>
      <w:color w:val="0F4761" w:themeColor="accent1" w:themeShade="BF"/>
    </w:rPr>
  </w:style>
  <w:style w:type="character" w:styleId="IntenseReference">
    <w:name w:val="Intense Reference"/>
    <w:basedOn w:val="DefaultParagraphFont"/>
    <w:uiPriority w:val="32"/>
    <w:qFormat/>
    <w:rsid w:val="00476C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2248</Characters>
  <Application>Microsoft Office Word</Application>
  <DocSecurity>0</DocSecurity>
  <Lines>56</Lines>
  <Paragraphs>27</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Hakeem Thomas</dc:creator>
  <cp:keywords/>
  <dc:description/>
  <cp:lastModifiedBy>Hakeem Thomas</cp:lastModifiedBy>
  <cp:revision>2</cp:revision>
  <dcterms:created xsi:type="dcterms:W3CDTF">2025-03-24T12:07:00Z</dcterms:created>
  <dcterms:modified xsi:type="dcterms:W3CDTF">2025-03-24T12:08:00Z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5519c7cdf47ef7b48d6015a899c3b5e5a5c8afaafcd9746308bf5e7571d216d2</vt:lpwstr>
  </property>
</Properties>
</file>