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8F21" w14:textId="77777777" w:rsidR="00E80754" w:rsidRPr="00E80754" w:rsidRDefault="00E80754" w:rsidP="00E80754">
      <w:pPr>
        <w:keepNext/>
        <w:keepLines/>
        <w:spacing w:before="240" w:after="240" w:line="480" w:lineRule="auto"/>
        <w:jc w:val="center"/>
        <w:outlineLvl w:val="0"/>
        <w:rPr>
          <w:rFonts w:ascii="Times New Roman" w:eastAsiaTheme="majorEastAsia" w:hAnsi="Times New Roman" w:cs="Times New Roman (Headings CS)"/>
          <w:b/>
          <w:caps/>
          <w:sz w:val="28"/>
          <w:szCs w:val="40"/>
        </w:rPr>
      </w:pPr>
      <w:bookmarkStart w:id="0" w:name="_Toc220937285"/>
      <w:r w:rsidRPr="00E80754">
        <w:rPr>
          <w:rFonts w:ascii="Times New Roman" w:eastAsiaTheme="majorEastAsia" w:hAnsi="Times New Roman" w:cs="Times New Roman (Headings CS)"/>
          <w:b/>
          <w:sz w:val="28"/>
          <w:szCs w:val="40"/>
        </w:rPr>
        <w:t>Abstract</w:t>
      </w:r>
      <w:bookmarkEnd w:id="0"/>
      <w:r w:rsidRPr="00E80754">
        <w:rPr>
          <w:rFonts w:ascii="Times New Roman" w:eastAsiaTheme="majorEastAsia" w:hAnsi="Times New Roman" w:cs="Times New Roman (Headings CS)"/>
          <w:b/>
          <w:sz w:val="28"/>
          <w:szCs w:val="40"/>
        </w:rPr>
        <w:t xml:space="preserve"> </w:t>
      </w:r>
    </w:p>
    <w:p w14:paraId="6ECBBCE0" w14:textId="77777777" w:rsidR="00E80754" w:rsidRPr="00E80754" w:rsidRDefault="00E80754" w:rsidP="00E80754">
      <w:pPr>
        <w:spacing w:after="160" w:line="480" w:lineRule="auto"/>
        <w:jc w:val="both"/>
        <w:rPr>
          <w:rFonts w:ascii="Times New Roman" w:hAnsi="Times New Roman" w:cs="Times New Roman"/>
        </w:rPr>
      </w:pPr>
      <w:r w:rsidRPr="00E80754">
        <w:rPr>
          <w:rFonts w:ascii="Times New Roman" w:hAnsi="Times New Roman" w:cs="Times New Roman"/>
        </w:rPr>
        <w:t xml:space="preserve">A Geosynthetic Reinforced Soil – Integrated Bridge System (GRS-IBS) integrates a reinforced soil foundation (RSF) and a GRS bridge abutment to alleviate the “bump at the bridge” due to differential settlement between the abutment and approach roadway. The Federal Highway Administration (FHWA) and the Florida Department of Transportation (FDOT) have developed empirical load-deformation relationships for design of GRS-IBS with approved geosynthetic strengths and well or poorly graded aggregates from full-scale tests on GRS Piers. Recent construction of GRS-IBS at two locations utilized a composite backfill of geologic aggregate and light weight aggregate in a 40/60 ratio to reduce the bearing weight of the reinforced structure and settlements. Experimental studies of composite GRS piers have not been done, and the performance (load-deformation and long-term deformation) has not been established. </w:t>
      </w:r>
    </w:p>
    <w:p w14:paraId="13898B78" w14:textId="6F485135" w:rsidR="00C56373" w:rsidRDefault="00E80754" w:rsidP="00E80754">
      <w:pPr>
        <w:spacing w:after="160" w:line="480" w:lineRule="auto"/>
        <w:jc w:val="both"/>
        <w:rPr>
          <w:rFonts w:ascii="Times New Roman" w:hAnsi="Times New Roman" w:cs="Times New Roman"/>
        </w:rPr>
      </w:pPr>
      <w:r w:rsidRPr="00E80754">
        <w:rPr>
          <w:rFonts w:ascii="Times New Roman" w:hAnsi="Times New Roman" w:cs="Times New Roman"/>
        </w:rPr>
        <w:t xml:space="preserve">This study investigates composite GRS piers through full-scale axial load-deformation tests of 70 kN/m biaxially woven geosynthetic and backfill: (1) foamed glass aggregate (FGA); (2) limestone aggregate; and (3) 40% limestone aggregate over 60% FGA. Long-term deformation was evaluated with a 24 hr sustained applied pressure of 90 kPa. Vertical and horizontal deformation was measured with optical sensors and pressure applied through load actuation on a pier footing. Consolidation settlements of the FGA backfilled pier is the greatest, followed by the composite limestone aggregate and FGA backfill (40/60) then the limestone aggregate backfill. At any applied pressure, the FGA backfilled pier exhibits the greatest vertical and horizontal strains, while the composite limestone aggregate and FGA (40/60) backfilled pier shows greater vertical and horizontal strains than the limestone aggregate backfilled pier. The difference in response to the applied pressures are attributed to the backfill unit weights, aggregate shape, and mean size. The </w:t>
      </w:r>
      <w:r w:rsidRPr="00E80754">
        <w:rPr>
          <w:rFonts w:ascii="Times New Roman" w:hAnsi="Times New Roman" w:cs="Times New Roman"/>
        </w:rPr>
        <w:lastRenderedPageBreak/>
        <w:t>load-deformation and creep test results in this study provides empirical evidence of GRS-IBS performance for composite backfill and adds to the database currently utilized by the FDOT and FHWA for design.</w:t>
      </w:r>
      <w:r>
        <w:rPr>
          <w:rFonts w:ascii="Times New Roman" w:hAnsi="Times New Roman" w:cs="Times New Roman"/>
        </w:rPr>
        <w:t xml:space="preserve"> </w:t>
      </w:r>
    </w:p>
    <w:p w14:paraId="4067DC6D" w14:textId="77777777" w:rsidR="00E80754" w:rsidRPr="00E80754" w:rsidRDefault="00E80754" w:rsidP="00E80754">
      <w:pPr>
        <w:spacing w:after="160" w:line="480" w:lineRule="auto"/>
        <w:jc w:val="both"/>
        <w:rPr>
          <w:rFonts w:ascii="Times New Roman" w:hAnsi="Times New Roman" w:cs="Times New Roman"/>
        </w:rPr>
      </w:pPr>
    </w:p>
    <w:sectPr w:rsidR="00E80754" w:rsidRPr="00E80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54"/>
    <w:rsid w:val="005A06C6"/>
    <w:rsid w:val="00C56373"/>
    <w:rsid w:val="00E8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3A706A"/>
  <w15:chartTrackingRefBased/>
  <w15:docId w15:val="{F88FE217-1ADC-5A45-8C18-8A774860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754"/>
    <w:rPr>
      <w:rFonts w:eastAsiaTheme="majorEastAsia" w:cstheme="majorBidi"/>
      <w:color w:val="272727" w:themeColor="text1" w:themeTint="D8"/>
    </w:rPr>
  </w:style>
  <w:style w:type="paragraph" w:styleId="Title">
    <w:name w:val="Title"/>
    <w:basedOn w:val="Normal"/>
    <w:next w:val="Normal"/>
    <w:link w:val="TitleChar"/>
    <w:uiPriority w:val="10"/>
    <w:qFormat/>
    <w:rsid w:val="00E80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7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7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754"/>
    <w:rPr>
      <w:i/>
      <w:iCs/>
      <w:color w:val="404040" w:themeColor="text1" w:themeTint="BF"/>
    </w:rPr>
  </w:style>
  <w:style w:type="paragraph" w:styleId="ListParagraph">
    <w:name w:val="List Paragraph"/>
    <w:basedOn w:val="Normal"/>
    <w:uiPriority w:val="34"/>
    <w:qFormat/>
    <w:rsid w:val="00E80754"/>
    <w:pPr>
      <w:ind w:left="720"/>
      <w:contextualSpacing/>
    </w:pPr>
  </w:style>
  <w:style w:type="character" w:styleId="IntenseEmphasis">
    <w:name w:val="Intense Emphasis"/>
    <w:basedOn w:val="DefaultParagraphFont"/>
    <w:uiPriority w:val="21"/>
    <w:qFormat/>
    <w:rsid w:val="00E80754"/>
    <w:rPr>
      <w:i/>
      <w:iCs/>
      <w:color w:val="0F4761" w:themeColor="accent1" w:themeShade="BF"/>
    </w:rPr>
  </w:style>
  <w:style w:type="paragraph" w:styleId="IntenseQuote">
    <w:name w:val="Intense Quote"/>
    <w:basedOn w:val="Normal"/>
    <w:next w:val="Normal"/>
    <w:link w:val="IntenseQuoteChar"/>
    <w:uiPriority w:val="30"/>
    <w:qFormat/>
    <w:rsid w:val="00E80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754"/>
    <w:rPr>
      <w:i/>
      <w:iCs/>
      <w:color w:val="0F4761" w:themeColor="accent1" w:themeShade="BF"/>
    </w:rPr>
  </w:style>
  <w:style w:type="character" w:styleId="IntenseReference">
    <w:name w:val="Intense Reference"/>
    <w:basedOn w:val="DefaultParagraphFont"/>
    <w:uiPriority w:val="32"/>
    <w:qFormat/>
    <w:rsid w:val="00E80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Vincent</dc:creator>
  <cp:keywords/>
  <dc:description/>
  <cp:lastModifiedBy>Joshua Vincent</cp:lastModifiedBy>
  <cp:revision>1</cp:revision>
  <dcterms:created xsi:type="dcterms:W3CDTF">2026-03-06T21:29:00Z</dcterms:created>
  <dcterms:modified xsi:type="dcterms:W3CDTF">2026-03-06T21:32:00Z</dcterms:modified>
</cp:coreProperties>
</file>