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C0AC" w14:textId="77777777" w:rsidR="004F0A1B" w:rsidRPr="003B55D2" w:rsidRDefault="004F0A1B" w:rsidP="004F0A1B">
      <w:pPr>
        <w:pStyle w:val="Heading1"/>
        <w:spacing w:line="480" w:lineRule="auto"/>
        <w:jc w:val="center"/>
        <w:rPr>
          <w:rStyle w:val="normaltextrun"/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0" w:name="_Toc219469965"/>
      <w:bookmarkStart w:id="1" w:name="_Toc221701395"/>
      <w:bookmarkStart w:id="2" w:name="_Toc221701880"/>
      <w:bookmarkStart w:id="3" w:name="_Toc221885091"/>
      <w:bookmarkStart w:id="4" w:name="_Toc229079530"/>
      <w:r w:rsidRPr="003B55D2">
        <w:rPr>
          <w:rFonts w:ascii="Times New Roman" w:hAnsi="Times New Roman" w:cs="Times New Roman"/>
          <w:b/>
          <w:bCs/>
          <w:color w:val="auto"/>
          <w:sz w:val="32"/>
          <w:szCs w:val="32"/>
        </w:rPr>
        <w:t>Abstract</w:t>
      </w:r>
      <w:bookmarkEnd w:id="0"/>
      <w:bookmarkEnd w:id="1"/>
      <w:bookmarkEnd w:id="2"/>
      <w:bookmarkEnd w:id="3"/>
      <w:bookmarkEnd w:id="4"/>
    </w:p>
    <w:p w14:paraId="11A8CA76" w14:textId="6A3164BE" w:rsidR="00C26437" w:rsidRDefault="004F0A1B" w:rsidP="004F0A1B">
      <w:pPr>
        <w:spacing w:line="360" w:lineRule="auto"/>
        <w:jc w:val="both"/>
      </w:pPr>
      <w:r w:rsidRPr="003B55D2">
        <w:rPr>
          <w:rFonts w:ascii="Times New Roman" w:hAnsi="Times New Roman" w:cs="Times New Roman"/>
          <w:sz w:val="24"/>
          <w:szCs w:val="24"/>
        </w:rPr>
        <w:t>Power semiconductor devices for medium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 xml:space="preserve"> and high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 xml:space="preserve">voltage applications are fundamentally constrained by the coupled requirements of sustaining high breakdown voltages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3B55D2">
        <w:rPr>
          <w:rFonts w:ascii="Times New Roman" w:hAnsi="Times New Roman" w:cs="Times New Roman"/>
          <w:sz w:val="24"/>
          <w:szCs w:val="24"/>
        </w:rPr>
        <w:t> low specific on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state resistance, constraints that are governed by the full spatial structure of the doping profile rather than by a few scalar design parameters. This dissertation develops a rigorous adjoint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 xml:space="preserve">based optimization framework in which the drift–diffusion </w:t>
      </w:r>
      <w:r>
        <w:rPr>
          <w:rFonts w:ascii="Times New Roman" w:hAnsi="Times New Roman" w:cs="Times New Roman"/>
          <w:sz w:val="24"/>
          <w:szCs w:val="24"/>
        </w:rPr>
        <w:t>model</w:t>
      </w:r>
      <w:r w:rsidRPr="003B55D2">
        <w:rPr>
          <w:rFonts w:ascii="Times New Roman" w:hAnsi="Times New Roman" w:cs="Times New Roman"/>
          <w:sz w:val="24"/>
          <w:szCs w:val="24"/>
        </w:rPr>
        <w:t xml:space="preserve"> is used to derive functional sensitivities of breakdown voltage, on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state current, and on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state resistance with respect to the local doping concentration at each node of a large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scale finite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element mesh, thereby enabling gradient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based updates in a design space with more than 10</w:t>
      </w:r>
      <w:r w:rsidRPr="003B55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B55D2">
        <w:rPr>
          <w:rFonts w:ascii="Times New Roman" w:hAnsi="Times New Roman" w:cs="Times New Roman"/>
          <w:sz w:val="24"/>
          <w:szCs w:val="24"/>
        </w:rPr>
        <w:t xml:space="preserve"> control variables. These sensitivities are embedded into a unified numerical scheme that accommodates unconstrained, constrained, and weighted multi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objective formulations, including cases in which breakdown voltage is maximized subject to an upper bound on on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state resistance, on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state resistance is minimized at a prescribed breakdown voltage, or both figures of merit are optimized simultaneously under device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 xml:space="preserve">level constraints. The methodology is first instantiated for silicon power MOSFET and IGBT structures, where it is shown to systematically reshape </w:t>
      </w:r>
      <w:r>
        <w:rPr>
          <w:rFonts w:ascii="Times New Roman" w:hAnsi="Times New Roman" w:cs="Times New Roman"/>
          <w:sz w:val="24"/>
          <w:szCs w:val="24"/>
        </w:rPr>
        <w:t xml:space="preserve">the doping in the </w:t>
      </w:r>
      <w:r w:rsidRPr="003B55D2">
        <w:rPr>
          <w:rFonts w:ascii="Times New Roman" w:hAnsi="Times New Roman" w:cs="Times New Roman"/>
          <w:sz w:val="24"/>
          <w:szCs w:val="24"/>
        </w:rPr>
        <w:t xml:space="preserve">drift and channel </w:t>
      </w:r>
      <w:r>
        <w:rPr>
          <w:rFonts w:ascii="Times New Roman" w:hAnsi="Times New Roman" w:cs="Times New Roman"/>
          <w:sz w:val="24"/>
          <w:szCs w:val="24"/>
        </w:rPr>
        <w:t>regions</w:t>
      </w:r>
      <w:r w:rsidRPr="003B55D2">
        <w:rPr>
          <w:rFonts w:ascii="Times New Roman" w:hAnsi="Times New Roman" w:cs="Times New Roman"/>
          <w:sz w:val="24"/>
          <w:szCs w:val="24"/>
        </w:rPr>
        <w:t xml:space="preserve"> to yield measurable improvements in breakdown voltage and on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state characteristics relative to baseline designs. The same framework is then extended to a 1.2 kV 4H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SiC MOSFET using temperature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 xml:space="preserve"> and doping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dependent models for bandgap, mobility, and recombination, thereby elucidating how optimal doping distributions and attainable figures of merit differ between silicon and wide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bandgap technologies. Collectively, these results demonstrate that adjoint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based large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scale optimization provides a mathematically rigorous and computationally tractable pathway toward approaching material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imposed performance limits in next</w:t>
      </w:r>
      <w:r w:rsidRPr="003B55D2">
        <w:rPr>
          <w:rFonts w:ascii="Times New Roman" w:hAnsi="Times New Roman" w:cs="Times New Roman"/>
          <w:sz w:val="24"/>
          <w:szCs w:val="24"/>
        </w:rPr>
        <w:noBreakHyphen/>
        <w:t>generation power semiconductor devices. </w:t>
      </w:r>
    </w:p>
    <w:sectPr w:rsidR="00C26437" w:rsidSect="004F0A1B">
      <w:pgSz w:w="12240" w:h="15840"/>
      <w:pgMar w:top="1440" w:right="1440" w:bottom="1440" w:left="144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D73F" w14:textId="77777777" w:rsidR="008C2587" w:rsidRDefault="008C2587" w:rsidP="004F0A1B">
      <w:pPr>
        <w:spacing w:after="0" w:line="240" w:lineRule="auto"/>
      </w:pPr>
      <w:r>
        <w:separator/>
      </w:r>
    </w:p>
  </w:endnote>
  <w:endnote w:type="continuationSeparator" w:id="0">
    <w:p w14:paraId="2A0769B1" w14:textId="77777777" w:rsidR="008C2587" w:rsidRDefault="008C2587" w:rsidP="004F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ED7C" w14:textId="77777777" w:rsidR="008C2587" w:rsidRDefault="008C2587" w:rsidP="004F0A1B">
      <w:pPr>
        <w:spacing w:after="0" w:line="240" w:lineRule="auto"/>
      </w:pPr>
      <w:r>
        <w:separator/>
      </w:r>
    </w:p>
  </w:footnote>
  <w:footnote w:type="continuationSeparator" w:id="0">
    <w:p w14:paraId="3C22ECB5" w14:textId="77777777" w:rsidR="008C2587" w:rsidRDefault="008C2587" w:rsidP="004F0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1B"/>
    <w:rsid w:val="000773F8"/>
    <w:rsid w:val="004F0A1B"/>
    <w:rsid w:val="00633874"/>
    <w:rsid w:val="006F2CD1"/>
    <w:rsid w:val="007A0050"/>
    <w:rsid w:val="008C2587"/>
    <w:rsid w:val="00B87F9B"/>
    <w:rsid w:val="00C220DD"/>
    <w:rsid w:val="00C26437"/>
    <w:rsid w:val="00C80B17"/>
    <w:rsid w:val="00CF5854"/>
    <w:rsid w:val="00D26B98"/>
    <w:rsid w:val="00DA47CB"/>
    <w:rsid w:val="00E3218F"/>
    <w:rsid w:val="00E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FA8CD"/>
  <w15:chartTrackingRefBased/>
  <w15:docId w15:val="{0680C892-05F9-4F31-BD4D-DDE42A79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1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1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F0A1B"/>
  </w:style>
  <w:style w:type="paragraph" w:styleId="Header">
    <w:name w:val="header"/>
    <w:basedOn w:val="Normal"/>
    <w:link w:val="HeaderChar"/>
    <w:uiPriority w:val="99"/>
    <w:unhideWhenUsed/>
    <w:rsid w:val="004F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A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A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40DD64EAA2D4A83A228353020E41E" ma:contentTypeVersion="14" ma:contentTypeDescription="Create a new document." ma:contentTypeScope="" ma:versionID="8cb278b57e95f475fa77788776b0cd13">
  <xsd:schema xmlns:xsd="http://www.w3.org/2001/XMLSchema" xmlns:xs="http://www.w3.org/2001/XMLSchema" xmlns:p="http://schemas.microsoft.com/office/2006/metadata/properties" xmlns:ns2="aa4d44ef-4a29-4a92-b967-25f64c754fd7" xmlns:ns3="51365327-4579-4cc7-91bb-04c553b09c69" targetNamespace="http://schemas.microsoft.com/office/2006/metadata/properties" ma:root="true" ma:fieldsID="be0d8f64c1cc423e810805ea98fc67ea" ns2:_="" ns3:_="">
    <xsd:import namespace="aa4d44ef-4a29-4a92-b967-25f64c754fd7"/>
    <xsd:import namespace="51365327-4579-4cc7-91bb-04c553b09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44ef-4a29-4a92-b967-25f64c75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5327-4579-4cc7-91bb-04c553b09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44ef-4a29-4a92-b967-25f64c75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8194D-9858-4238-8A7B-BA9235FE6713}"/>
</file>

<file path=customXml/itemProps2.xml><?xml version="1.0" encoding="utf-8"?>
<ds:datastoreItem xmlns:ds="http://schemas.openxmlformats.org/officeDocument/2006/customXml" ds:itemID="{C16ED1C4-3C1F-4D66-B71B-7BE54F737DCA}"/>
</file>

<file path=customXml/itemProps3.xml><?xml version="1.0" encoding="utf-8"?>
<ds:datastoreItem xmlns:ds="http://schemas.openxmlformats.org/officeDocument/2006/customXml" ds:itemID="{DD826F76-5B8F-4376-AC66-C31F81B6A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Pranathi Brungi</dc:creator>
  <cp:keywords/>
  <dc:description/>
  <cp:lastModifiedBy>Pranathi Brungi</cp:lastModifiedBy>
  <cp:revision>1</cp:revision>
  <dcterms:created xsi:type="dcterms:W3CDTF">2026-05-18T17:41:00Z</dcterms:created>
  <dcterms:modified xsi:type="dcterms:W3CDTF">2026-05-18T17:48:00Z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0x0101001E640DD64EAA2D4A83A228353020E41E</vt:lpwstr>
  </property>
</Properties>
</file>